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54A29" w14:textId="2646D47B" w:rsidR="00EA5949" w:rsidRPr="00D60A8B" w:rsidRDefault="0023240F" w:rsidP="00EA5949">
      <w:pPr>
        <w:pStyle w:val="3GPPHeader"/>
        <w:spacing w:after="0"/>
        <w:rPr>
          <w:rFonts w:ascii="Arial" w:hAnsi="Arial" w:cs="Arial"/>
          <w:sz w:val="22"/>
          <w:lang w:val="en-US"/>
        </w:rPr>
      </w:pPr>
      <w:r>
        <w:rPr>
          <w:rFonts w:ascii="Arial" w:hAnsi="Arial" w:cs="Arial"/>
          <w:sz w:val="22"/>
          <w:lang w:val="en-US"/>
        </w:rPr>
        <w:t>3GPP TSG RAN WG2 #105bis</w:t>
      </w:r>
      <w:r>
        <w:rPr>
          <w:rFonts w:ascii="Arial" w:hAnsi="Arial" w:cs="Arial"/>
          <w:sz w:val="22"/>
          <w:lang w:val="en-US"/>
        </w:rPr>
        <w:tab/>
        <w:t xml:space="preserve"> R2-1903529</w:t>
      </w:r>
    </w:p>
    <w:p w14:paraId="367AB2CE" w14:textId="4A5EEE0D" w:rsidR="00EA5949" w:rsidRDefault="00EA5949" w:rsidP="00EA5949">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23240F">
        <w:rPr>
          <w:rFonts w:ascii="Arial" w:hAnsi="Arial" w:cs="Arial"/>
          <w:sz w:val="22"/>
          <w:lang w:val="en-US"/>
        </w:rPr>
        <w:t>8 – 12 April</w:t>
      </w:r>
      <w:r w:rsidRPr="00395015">
        <w:rPr>
          <w:rFonts w:ascii="Arial" w:hAnsi="Arial" w:cs="Arial"/>
          <w:sz w:val="22"/>
          <w:lang w:val="en-US"/>
        </w:rPr>
        <w:t>,</w:t>
      </w:r>
      <w:r>
        <w:rPr>
          <w:rFonts w:ascii="Arial" w:hAnsi="Arial" w:cs="Arial"/>
          <w:sz w:val="22"/>
          <w:lang w:val="en-US"/>
        </w:rPr>
        <w:t xml:space="preserve"> 2019</w:t>
      </w:r>
      <w:r w:rsidR="0023240F">
        <w:rPr>
          <w:rFonts w:ascii="Arial" w:hAnsi="Arial" w:cs="Arial"/>
          <w:sz w:val="22"/>
          <w:lang w:val="en-US"/>
        </w:rPr>
        <w:tab/>
      </w:r>
      <w:r w:rsidR="0023240F" w:rsidRPr="0023240F">
        <w:rPr>
          <w:rFonts w:ascii="Arial" w:hAnsi="Arial" w:cs="Arial"/>
          <w:sz w:val="20"/>
          <w:szCs w:val="20"/>
          <w:lang w:val="en-US"/>
        </w:rPr>
        <w:t>Resubmission of R2-1900406</w:t>
      </w:r>
    </w:p>
    <w:p w14:paraId="1C2A4D3F" w14:textId="77777777" w:rsidR="00EA5949" w:rsidRPr="0050109B" w:rsidRDefault="00EA5949" w:rsidP="00EA5949">
      <w:pPr>
        <w:pStyle w:val="3GPPHeader"/>
        <w:spacing w:after="0"/>
        <w:rPr>
          <w:rFonts w:ascii="Arial" w:hAnsi="Arial" w:cs="Arial"/>
          <w:sz w:val="22"/>
          <w:lang w:val="en-US"/>
        </w:rPr>
      </w:pPr>
      <w:r w:rsidRPr="0050109B">
        <w:rPr>
          <w:rFonts w:ascii="Arial" w:hAnsi="Arial" w:cs="Arial"/>
          <w:sz w:val="22"/>
          <w:lang w:val="en-US"/>
        </w:rPr>
        <w:tab/>
      </w:r>
    </w:p>
    <w:p w14:paraId="7B83D904" w14:textId="79863F5C" w:rsidR="0023240F" w:rsidRPr="0023240F" w:rsidRDefault="00EA5949" w:rsidP="00EA5949">
      <w:pPr>
        <w:pStyle w:val="3GPPHeader"/>
        <w:spacing w:after="120"/>
        <w:rPr>
          <w:rFonts w:cstheme="minorHAnsi"/>
          <w:sz w:val="22"/>
          <w:lang w:val="en-US"/>
        </w:rPr>
      </w:pPr>
      <w:r w:rsidRPr="0023240F">
        <w:rPr>
          <w:rFonts w:cstheme="minorHAnsi"/>
          <w:sz w:val="22"/>
          <w:lang w:val="en-US"/>
        </w:rPr>
        <w:t>Agenda Item:</w:t>
      </w:r>
      <w:r w:rsidRPr="0023240F">
        <w:rPr>
          <w:rFonts w:cstheme="minorHAnsi"/>
          <w:sz w:val="22"/>
          <w:lang w:val="en-US"/>
        </w:rPr>
        <w:tab/>
        <w:t>11.9.3 Handover robustness improvements</w:t>
      </w:r>
    </w:p>
    <w:p w14:paraId="5DAA27F0" w14:textId="77777777" w:rsidR="00E90E49" w:rsidRPr="00EA5949" w:rsidRDefault="003D3C45" w:rsidP="00F64C2B">
      <w:pPr>
        <w:pStyle w:val="3GPPHeader"/>
        <w:rPr>
          <w:sz w:val="22"/>
          <w:lang w:val="en-US"/>
        </w:rPr>
      </w:pPr>
      <w:r w:rsidRPr="00EA5949">
        <w:rPr>
          <w:sz w:val="22"/>
          <w:lang w:val="en-US"/>
        </w:rPr>
        <w:t>Source:</w:t>
      </w:r>
      <w:r w:rsidR="00E90E49" w:rsidRPr="00EA5949">
        <w:rPr>
          <w:sz w:val="22"/>
          <w:lang w:val="en-US"/>
        </w:rPr>
        <w:tab/>
      </w:r>
      <w:r w:rsidR="00F64C2B" w:rsidRPr="00EA5949">
        <w:rPr>
          <w:sz w:val="22"/>
          <w:lang w:val="en-US"/>
        </w:rPr>
        <w:t>Ericsson</w:t>
      </w:r>
    </w:p>
    <w:p w14:paraId="63CB047E" w14:textId="4A6444A6" w:rsidR="00E90E49" w:rsidRPr="00EA5949" w:rsidRDefault="003D3C45" w:rsidP="00311702">
      <w:pPr>
        <w:pStyle w:val="3GPPHeader"/>
        <w:rPr>
          <w:sz w:val="22"/>
          <w:lang w:val="en-US"/>
        </w:rPr>
      </w:pPr>
      <w:r w:rsidRPr="00EA5949">
        <w:rPr>
          <w:sz w:val="22"/>
          <w:lang w:val="en-US"/>
        </w:rPr>
        <w:t>Title:</w:t>
      </w:r>
      <w:r w:rsidR="00E90E49" w:rsidRPr="00EA5949">
        <w:rPr>
          <w:sz w:val="22"/>
          <w:lang w:val="en-US"/>
        </w:rPr>
        <w:tab/>
      </w:r>
      <w:r w:rsidR="00A34B4D" w:rsidRPr="00EA5949">
        <w:rPr>
          <w:sz w:val="22"/>
          <w:lang w:val="en-US"/>
        </w:rPr>
        <w:t>Fast RLF triggering based on timer T312</w:t>
      </w:r>
    </w:p>
    <w:p w14:paraId="65935703" w14:textId="7872AC98" w:rsidR="00E90E49" w:rsidRPr="00193B0A" w:rsidRDefault="00E90E49" w:rsidP="00FE3D40">
      <w:pPr>
        <w:pStyle w:val="3GPPHeader"/>
        <w:tabs>
          <w:tab w:val="clear" w:pos="9639"/>
          <w:tab w:val="center" w:pos="4819"/>
        </w:tabs>
        <w:rPr>
          <w:sz w:val="22"/>
        </w:rPr>
      </w:pPr>
      <w:r w:rsidRPr="00CE0424">
        <w:rPr>
          <w:sz w:val="22"/>
        </w:rPr>
        <w:t>Document for:</w:t>
      </w:r>
      <w:r w:rsidRPr="00CE0424">
        <w:rPr>
          <w:sz w:val="22"/>
        </w:rPr>
        <w:tab/>
      </w:r>
      <w:r w:rsidRPr="00FD6EE4">
        <w:rPr>
          <w:sz w:val="22"/>
        </w:rPr>
        <w:t>Discussion, Decision</w:t>
      </w:r>
      <w:r w:rsidR="00FE3D40">
        <w:rPr>
          <w:sz w:val="22"/>
        </w:rPr>
        <w:tab/>
      </w:r>
    </w:p>
    <w:p w14:paraId="607E06CC" w14:textId="77777777" w:rsidR="00E90E49" w:rsidRPr="00CE0424" w:rsidRDefault="00E90E49" w:rsidP="00CE0424">
      <w:pPr>
        <w:pStyle w:val="Heading1"/>
      </w:pPr>
      <w:bookmarkStart w:id="0" w:name="_Ref471484523"/>
      <w:r w:rsidRPr="00CE0424">
        <w:t>Introduction</w:t>
      </w:r>
      <w:bookmarkEnd w:id="0"/>
    </w:p>
    <w:p w14:paraId="1FA733F7" w14:textId="71D304F0" w:rsidR="00C955AA" w:rsidRPr="00EA5949" w:rsidRDefault="00193B0A" w:rsidP="00693583">
      <w:pPr>
        <w:rPr>
          <w:lang w:val="en-US"/>
        </w:rPr>
      </w:pPr>
      <w:r w:rsidRPr="00EA5949">
        <w:rPr>
          <w:lang w:val="en-US"/>
        </w:rPr>
        <w:t xml:space="preserve">To improve </w:t>
      </w:r>
      <w:r w:rsidR="00693583" w:rsidRPr="00EA5949">
        <w:rPr>
          <w:lang w:val="en-US"/>
        </w:rPr>
        <w:t xml:space="preserve">mobility robustness and </w:t>
      </w:r>
      <w:r w:rsidRPr="00EA5949">
        <w:rPr>
          <w:lang w:val="en-US"/>
        </w:rPr>
        <w:t xml:space="preserve">reduce </w:t>
      </w:r>
      <w:r w:rsidR="00693583" w:rsidRPr="00EA5949">
        <w:rPr>
          <w:lang w:val="en-US"/>
        </w:rPr>
        <w:t xml:space="preserve">interruption time, RAN#80 plenary approved a </w:t>
      </w:r>
      <w:r w:rsidRPr="00EA5949">
        <w:rPr>
          <w:lang w:val="en-US"/>
        </w:rPr>
        <w:t xml:space="preserve">Work Item </w:t>
      </w:r>
      <w:r w:rsidR="00685A8E" w:rsidRPr="00EA5949">
        <w:rPr>
          <w:lang w:val="en-US"/>
        </w:rPr>
        <w:t xml:space="preserve">(WI) </w:t>
      </w:r>
      <w:r w:rsidR="00693583" w:rsidRPr="00EA5949">
        <w:rPr>
          <w:lang w:val="en-US"/>
        </w:rPr>
        <w:t>entitled “</w:t>
      </w:r>
      <w:r w:rsidR="0095336B" w:rsidRPr="00EA5949">
        <w:rPr>
          <w:lang w:val="en-US"/>
        </w:rPr>
        <w:t xml:space="preserve">NR </w:t>
      </w:r>
      <w:r w:rsidR="00693583" w:rsidRPr="00EA5949">
        <w:rPr>
          <w:lang w:val="en-US"/>
        </w:rPr>
        <w:t>Mobility enhancement</w:t>
      </w:r>
      <w:r w:rsidR="0095336B" w:rsidRPr="00EA5949">
        <w:rPr>
          <w:lang w:val="en-US"/>
        </w:rPr>
        <w:t>s</w:t>
      </w:r>
      <w:r w:rsidR="00693583" w:rsidRPr="00EA5949">
        <w:rPr>
          <w:lang w:val="en-US"/>
        </w:rPr>
        <w:t>” [1].</w:t>
      </w:r>
      <w:r w:rsidR="00CD7856" w:rsidRPr="00EA5949">
        <w:rPr>
          <w:lang w:val="en-US"/>
        </w:rPr>
        <w:t xml:space="preserve"> </w:t>
      </w:r>
      <w:r w:rsidR="004C477C" w:rsidRPr="00EA5949">
        <w:rPr>
          <w:lang w:val="en-US"/>
        </w:rPr>
        <w:t>One of the object</w:t>
      </w:r>
      <w:r w:rsidR="00234EF2" w:rsidRPr="00EA5949">
        <w:rPr>
          <w:lang w:val="en-US"/>
        </w:rPr>
        <w:t xml:space="preserve">ives is </w:t>
      </w:r>
      <w:r w:rsidR="00C955AA" w:rsidRPr="00EA5949">
        <w:rPr>
          <w:lang w:val="en-US"/>
        </w:rPr>
        <w:t>to study solutions to improve HO/SCG change reliability and robustness, focusing on conditional handover and fast failure recovery.</w:t>
      </w:r>
    </w:p>
    <w:p w14:paraId="3A0A9193" w14:textId="585719DD" w:rsidR="00C955AA" w:rsidRPr="00EA5949" w:rsidRDefault="00706865" w:rsidP="00693583">
      <w:pPr>
        <w:rPr>
          <w:lang w:val="en-US"/>
        </w:rPr>
      </w:pPr>
      <w:r w:rsidRPr="00EA5949">
        <w:rPr>
          <w:lang w:val="en-US"/>
        </w:rPr>
        <w:t>This paper discusses for NR the introduction of a fast recovery mechanism that exists in LTE (timer T312).</w:t>
      </w:r>
    </w:p>
    <w:p w14:paraId="1464B51B" w14:textId="06A1B38C" w:rsidR="00262D9A" w:rsidRPr="00182866" w:rsidRDefault="00FF371B" w:rsidP="00262D9A">
      <w:pPr>
        <w:pStyle w:val="Heading1"/>
      </w:pPr>
      <w:bookmarkStart w:id="1" w:name="_Ref477972990"/>
      <w:r>
        <w:t>Discussion</w:t>
      </w:r>
      <w:bookmarkEnd w:id="1"/>
    </w:p>
    <w:p w14:paraId="405DBDA6" w14:textId="77777777" w:rsidR="00D8089F" w:rsidRPr="00EA5949" w:rsidRDefault="00D8089F" w:rsidP="00423DCB">
      <w:pPr>
        <w:rPr>
          <w:lang w:val="en-US"/>
        </w:rPr>
      </w:pPr>
      <w:r w:rsidRPr="00EA5949">
        <w:rPr>
          <w:lang w:val="en-US"/>
        </w:rPr>
        <w:t>In the WID for “NR Mobility enhancements” [1], one of the objectives is reproduced below:</w:t>
      </w:r>
    </w:p>
    <w:p w14:paraId="3E7E6C4C" w14:textId="298DDFB1" w:rsidR="00BA29C8" w:rsidRDefault="00A365C4" w:rsidP="00A365C4">
      <w:pPr>
        <w:pStyle w:val="B1"/>
        <w:ind w:left="0" w:firstLine="0"/>
        <w:rPr>
          <w:lang w:eastAsia="ja-JP"/>
        </w:rPr>
      </w:pPr>
      <w:r>
        <w:rPr>
          <w:lang w:eastAsia="ja-JP"/>
        </w:rPr>
        <w:t>***************************************************************************************</w:t>
      </w:r>
    </w:p>
    <w:p w14:paraId="407C4B3E" w14:textId="77777777" w:rsidR="00A365C4" w:rsidRPr="00EA5949" w:rsidRDefault="00A365C4" w:rsidP="00A365C4">
      <w:pPr>
        <w:numPr>
          <w:ilvl w:val="0"/>
          <w:numId w:val="20"/>
        </w:numPr>
        <w:overflowPunct w:val="0"/>
        <w:autoSpaceDE w:val="0"/>
        <w:autoSpaceDN w:val="0"/>
        <w:adjustRightInd w:val="0"/>
        <w:spacing w:after="180" w:line="240" w:lineRule="auto"/>
        <w:rPr>
          <w:rFonts w:ascii="Times New Roman" w:eastAsia="MS Mincho" w:hAnsi="Times New Roman" w:cs="Times New Roman"/>
          <w:sz w:val="20"/>
          <w:szCs w:val="20"/>
          <w:lang w:val="en-US" w:eastAsia="ja-JP"/>
        </w:rPr>
      </w:pPr>
      <w:r w:rsidRPr="00EA5949">
        <w:rPr>
          <w:rFonts w:ascii="Times New Roman" w:eastAsia="MS Mincho" w:hAnsi="Times New Roman" w:cs="Times New Roman"/>
          <w:sz w:val="20"/>
          <w:szCs w:val="20"/>
          <w:lang w:val="en-US" w:eastAsia="ja-JP"/>
        </w:rPr>
        <w:t xml:space="preserve">To study solution(s) to improve HO/SCG change reliability and robustness especially considering challenges in high/med frequency focusing on the following identified solutions but not limited. </w:t>
      </w:r>
    </w:p>
    <w:p w14:paraId="7B5F5832"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Conditional handover </w:t>
      </w:r>
    </w:p>
    <w:p w14:paraId="13C76BBB" w14:textId="77777777" w:rsidR="00A365C4" w:rsidRPr="00A365C4" w:rsidRDefault="00A365C4" w:rsidP="00A365C4">
      <w:pPr>
        <w:numPr>
          <w:ilvl w:val="1"/>
          <w:numId w:val="20"/>
        </w:numPr>
        <w:overflowPunct w:val="0"/>
        <w:autoSpaceDE w:val="0"/>
        <w:autoSpaceDN w:val="0"/>
        <w:adjustRightInd w:val="0"/>
        <w:spacing w:after="180" w:line="240" w:lineRule="auto"/>
        <w:rPr>
          <w:rFonts w:ascii="Times New Roman" w:eastAsia="MS Mincho" w:hAnsi="Times New Roman" w:cs="Times New Roman"/>
          <w:sz w:val="20"/>
          <w:szCs w:val="20"/>
          <w:highlight w:val="yellow"/>
          <w:lang w:val="en-GB" w:eastAsia="ja-JP"/>
        </w:rPr>
      </w:pPr>
      <w:r w:rsidRPr="00A365C4">
        <w:rPr>
          <w:rFonts w:ascii="Times New Roman" w:eastAsia="MS Mincho" w:hAnsi="Times New Roman" w:cs="Times New Roman"/>
          <w:sz w:val="20"/>
          <w:szCs w:val="20"/>
          <w:highlight w:val="yellow"/>
          <w:lang w:val="en-GB" w:eastAsia="ja-JP"/>
        </w:rPr>
        <w:t xml:space="preserve">Fast handover failure recovery </w:t>
      </w:r>
    </w:p>
    <w:p w14:paraId="647C9842"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Times New Roman"/>
          <w:sz w:val="20"/>
          <w:szCs w:val="20"/>
          <w:lang w:val="en-GB" w:eastAsia="ja-JP"/>
        </w:rPr>
      </w:pPr>
      <w:r w:rsidRPr="00A365C4">
        <w:rPr>
          <w:rFonts w:ascii="Times New Roman" w:eastAsia="MS Mincho" w:hAnsi="Times New Roman" w:cs="Times New Roman"/>
          <w:sz w:val="20"/>
          <w:szCs w:val="20"/>
          <w:lang w:val="en-GB" w:eastAsia="ja-JP"/>
        </w:rPr>
        <w:t xml:space="preserve">RAN2 should avoid increasing signalling overhead. </w:t>
      </w:r>
    </w:p>
    <w:p w14:paraId="1AEA0614" w14:textId="77777777" w:rsidR="00A365C4" w:rsidRPr="00A365C4" w:rsidRDefault="00A365C4" w:rsidP="00A365C4">
      <w:pPr>
        <w:overflowPunct w:val="0"/>
        <w:autoSpaceDE w:val="0"/>
        <w:autoSpaceDN w:val="0"/>
        <w:adjustRightInd w:val="0"/>
        <w:spacing w:after="180" w:line="240" w:lineRule="auto"/>
        <w:ind w:left="568" w:hanging="284"/>
        <w:rPr>
          <w:rFonts w:ascii="Times New Roman" w:eastAsia="MS Mincho" w:hAnsi="Times New Roman" w:cs="Calibri"/>
          <w:sz w:val="20"/>
          <w:szCs w:val="20"/>
          <w:lang w:val="en-GB" w:eastAsia="zh-CN"/>
        </w:rPr>
      </w:pPr>
      <w:r w:rsidRPr="00A365C4">
        <w:rPr>
          <w:rFonts w:ascii="Times New Roman" w:eastAsia="MS Mincho" w:hAnsi="Times New Roman" w:cs="Calibri"/>
          <w:sz w:val="20"/>
          <w:szCs w:val="20"/>
          <w:lang w:val="en-GB" w:eastAsia="zh-CN"/>
        </w:rPr>
        <w:t xml:space="preserve">Note: LTE mobility enhancements should be used for baseline for fast handover failure recovery, Make-before-break and RACH-less handover. </w:t>
      </w:r>
    </w:p>
    <w:p w14:paraId="583C6A41" w14:textId="336F53AD" w:rsidR="00D8089F" w:rsidRPr="00EA5949" w:rsidRDefault="00A365C4" w:rsidP="00A365C4">
      <w:pPr>
        <w:pStyle w:val="B1"/>
        <w:ind w:left="0" w:firstLine="0"/>
        <w:rPr>
          <w:lang w:val="en-US" w:eastAsia="ja-JP"/>
        </w:rPr>
      </w:pPr>
      <w:r w:rsidRPr="00EA5949">
        <w:rPr>
          <w:lang w:val="en-US" w:eastAsia="ja-JP"/>
        </w:rPr>
        <w:t>***************************************************************************************</w:t>
      </w:r>
    </w:p>
    <w:p w14:paraId="0DB6B595" w14:textId="03E2D0BB" w:rsidR="00D61FAD" w:rsidRPr="00EA5949" w:rsidRDefault="00310546" w:rsidP="00423DCB">
      <w:pPr>
        <w:rPr>
          <w:lang w:val="en-US"/>
        </w:rPr>
      </w:pPr>
      <w:r w:rsidRPr="00EA5949">
        <w:rPr>
          <w:lang w:val="en-US"/>
        </w:rPr>
        <w:t xml:space="preserve">These objectives reflect that there are mechanisms to avoid mobility failures and mechanisms to </w:t>
      </w:r>
      <w:r w:rsidR="00D61FAD" w:rsidRPr="00EA5949">
        <w:rPr>
          <w:lang w:val="en-US"/>
        </w:rPr>
        <w:t xml:space="preserve">speed up recovery in an efficient way (i.e. with not much signaling) </w:t>
      </w:r>
      <w:r w:rsidRPr="00EA5949">
        <w:rPr>
          <w:lang w:val="en-US"/>
        </w:rPr>
        <w:t>if a failure</w:t>
      </w:r>
      <w:r w:rsidR="00D22351" w:rsidRPr="00EA5949">
        <w:rPr>
          <w:lang w:val="en-US"/>
        </w:rPr>
        <w:t xml:space="preserve"> occurs</w:t>
      </w:r>
      <w:r w:rsidRPr="00EA5949">
        <w:rPr>
          <w:lang w:val="en-US"/>
        </w:rPr>
        <w:t>.</w:t>
      </w:r>
      <w:r w:rsidR="00D61FAD" w:rsidRPr="00EA5949">
        <w:rPr>
          <w:lang w:val="en-US"/>
        </w:rPr>
        <w:t xml:space="preserve"> </w:t>
      </w:r>
      <w:r w:rsidR="00E41131" w:rsidRPr="00EA5949">
        <w:rPr>
          <w:lang w:val="en-US"/>
        </w:rPr>
        <w:t xml:space="preserve">Existing mechanisms in </w:t>
      </w:r>
      <w:r w:rsidR="00EA088C" w:rsidRPr="00EA5949">
        <w:rPr>
          <w:lang w:val="en-US"/>
        </w:rPr>
        <w:t xml:space="preserve">LTE and NR </w:t>
      </w:r>
      <w:r w:rsidR="00E41131" w:rsidRPr="00EA5949">
        <w:rPr>
          <w:lang w:val="en-US"/>
        </w:rPr>
        <w:t>for recovery in the inter-cell case are RRC re-establishment (triggered upon handover failure or RLF)</w:t>
      </w:r>
      <w:r w:rsidR="00A365C4" w:rsidRPr="00EA5949">
        <w:rPr>
          <w:lang w:val="en-US"/>
        </w:rPr>
        <w:t xml:space="preserve"> and </w:t>
      </w:r>
      <w:r w:rsidR="00D61FAD" w:rsidRPr="00EA5949">
        <w:rPr>
          <w:lang w:val="en-US"/>
        </w:rPr>
        <w:t>the accelerated</w:t>
      </w:r>
      <w:r w:rsidR="00E84BB9" w:rsidRPr="00EA5949">
        <w:rPr>
          <w:lang w:val="en-US"/>
        </w:rPr>
        <w:t xml:space="preserve"> </w:t>
      </w:r>
      <w:r w:rsidR="00E41131" w:rsidRPr="00EA5949">
        <w:rPr>
          <w:lang w:val="en-US"/>
        </w:rPr>
        <w:t>RLF triggered by the expiry of timer T312 (if configured</w:t>
      </w:r>
      <w:r w:rsidR="00EA088C" w:rsidRPr="00EA5949">
        <w:rPr>
          <w:lang w:val="en-US"/>
        </w:rPr>
        <w:t>, only for LTE</w:t>
      </w:r>
      <w:r w:rsidR="00E41131" w:rsidRPr="00EA5949">
        <w:rPr>
          <w:lang w:val="en-US"/>
        </w:rPr>
        <w:t>)</w:t>
      </w:r>
      <w:r w:rsidR="00D61FAD" w:rsidRPr="00EA5949">
        <w:rPr>
          <w:lang w:val="en-US"/>
        </w:rPr>
        <w:t>, and these should be baseline for NR enhancements.</w:t>
      </w:r>
    </w:p>
    <w:p w14:paraId="755A3696" w14:textId="4FFF462D" w:rsidR="009D18AC" w:rsidRPr="00EA5949" w:rsidRDefault="009D18AC" w:rsidP="009D18AC">
      <w:pPr>
        <w:rPr>
          <w:lang w:val="en-US"/>
        </w:rPr>
      </w:pPr>
      <w:r w:rsidRPr="00EA5949">
        <w:rPr>
          <w:lang w:val="en-US"/>
        </w:rPr>
        <w:t>As result of the “Het-Net mobility” study item the above-mentioned T312 timer was introduced: The UE shall start T312 upon triggering a measurement report for a measurement identity for which T312 has been configured, while T310 is running,</w:t>
      </w:r>
      <w:r w:rsidR="00E84BB9" w:rsidRPr="00EA5949">
        <w:rPr>
          <w:lang w:val="en-US"/>
        </w:rPr>
        <w:t xml:space="preserve"> </w:t>
      </w:r>
      <w:r w:rsidRPr="00EA5949">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2D9A7DD9" w14:textId="52EF7CAA" w:rsidR="0064331C" w:rsidRPr="004A77C5" w:rsidRDefault="0064331C" w:rsidP="0064331C">
      <w:pPr>
        <w:rPr>
          <w:lang w:val="en-US"/>
        </w:rPr>
      </w:pPr>
      <w:r w:rsidRPr="00EA5949">
        <w:rPr>
          <w:lang w:val="en-US"/>
        </w:rPr>
        <w:t xml:space="preserve">In the existing LTE mechanism, timer T312 is only started if upon the triggering of the event, timer T310 is running. </w:t>
      </w:r>
      <w:r w:rsidRPr="004A77C5">
        <w:rPr>
          <w:lang w:val="en-US"/>
        </w:rPr>
        <w:t>The thinking is that if the timer is running, radio problems have been detected and, the fact that a measurement report is triggered is another evidence that a handover should occur. Hence, upon the expiry of timer T312 (which value should be shorter than T310, for consistency), the UE initiates the re-establishment procedure.</w:t>
      </w:r>
    </w:p>
    <w:p w14:paraId="1ADABA90" w14:textId="342B5242" w:rsidR="0064331C" w:rsidRPr="00B90DC5" w:rsidRDefault="0064331C" w:rsidP="0064331C">
      <w:pPr>
        <w:rPr>
          <w:lang w:val="en-US"/>
        </w:rPr>
      </w:pPr>
      <w:r w:rsidRPr="00B90DC5">
        <w:rPr>
          <w:lang w:val="en-US"/>
        </w:rPr>
        <w:t>When mobility robustness on NR was discussed, it was suggested in [</w:t>
      </w:r>
      <w:r w:rsidR="005B0B31" w:rsidRPr="00B90DC5">
        <w:rPr>
          <w:lang w:val="en-US"/>
        </w:rPr>
        <w:t>2</w:t>
      </w:r>
      <w:r w:rsidRPr="00B90DC5">
        <w:rPr>
          <w:lang w:val="en-US"/>
        </w:rPr>
        <w:t>] that an NR UE may perform autonomous mobility towards a detected and reported candidate cell if it does not receive a handover command within a certain time. Hence, unlike the T312 timer, the solution described in [</w:t>
      </w:r>
      <w:r w:rsidR="005B0B31" w:rsidRPr="00B90DC5">
        <w:rPr>
          <w:lang w:val="en-US"/>
        </w:rPr>
        <w:t>2</w:t>
      </w:r>
      <w:r w:rsidRPr="00B90DC5">
        <w:rPr>
          <w:lang w:val="en-US"/>
        </w:rPr>
        <w:t xml:space="preserve">] does not require the UE to detect radio link issues with its serving cell. We believe that this goes against the principle of network-controlled mobility where the network may decide (e.g. for load reasons) not to trigger the handover based on the UE’s measurement report. However, we would be open to discuss it in the way that the UE may also start T312 when detecting out-of-sync </w:t>
      </w:r>
      <w:r w:rsidRPr="00B90DC5">
        <w:rPr>
          <w:u w:val="single"/>
          <w:lang w:val="en-US"/>
        </w:rPr>
        <w:t>after</w:t>
      </w:r>
      <w:r w:rsidRPr="00B90DC5">
        <w:rPr>
          <w:lang w:val="en-US"/>
        </w:rPr>
        <w:t xml:space="preserve"> triggering a measurement report for a measurement identity for which T312 has been configured. This would make it similar to the enhancement proposed in [</w:t>
      </w:r>
      <w:r w:rsidR="005B0B31" w:rsidRPr="00B90DC5">
        <w:rPr>
          <w:lang w:val="en-US"/>
        </w:rPr>
        <w:t>2</w:t>
      </w:r>
      <w:r w:rsidRPr="00B90DC5">
        <w:rPr>
          <w:lang w:val="en-US"/>
        </w:rPr>
        <w:t xml:space="preserve">] but still require that the UE detects radio link problems towards its serving cell before reselecting autonomously to the target cell. </w:t>
      </w:r>
    </w:p>
    <w:p w14:paraId="5433D9CA" w14:textId="03562223" w:rsidR="0064331C" w:rsidRPr="004A77C5" w:rsidRDefault="0064331C" w:rsidP="0064331C">
      <w:pPr>
        <w:pStyle w:val="Proposal"/>
        <w:rPr>
          <w:lang w:val="en-US"/>
        </w:rPr>
      </w:pPr>
      <w:bookmarkStart w:id="2" w:name="_Toc477972468"/>
      <w:bookmarkStart w:id="3" w:name="_Toc477972563"/>
      <w:bookmarkStart w:id="4" w:name="_Toc477972633"/>
      <w:bookmarkStart w:id="5" w:name="_Toc477972663"/>
      <w:bookmarkStart w:id="6" w:name="_Toc477972947"/>
      <w:bookmarkStart w:id="7" w:name="_Toc477972982"/>
      <w:bookmarkStart w:id="8" w:name="_Toc477973007"/>
      <w:bookmarkStart w:id="9" w:name="_Toc477973017"/>
      <w:r w:rsidRPr="004A77C5">
        <w:rPr>
          <w:lang w:val="en-US"/>
        </w:rPr>
        <w:t xml:space="preserve">RAN2 </w:t>
      </w:r>
      <w:bookmarkStart w:id="10" w:name="_Hlk4590738"/>
      <w:r w:rsidRPr="004A77C5">
        <w:rPr>
          <w:lang w:val="en-US"/>
        </w:rPr>
        <w:t xml:space="preserve">to study whether </w:t>
      </w:r>
      <w:r w:rsidR="00D55103">
        <w:rPr>
          <w:lang w:val="en-US"/>
        </w:rPr>
        <w:t xml:space="preserve">it should be possible to start </w:t>
      </w:r>
      <w:r w:rsidRPr="004A77C5">
        <w:rPr>
          <w:lang w:val="en-US"/>
        </w:rPr>
        <w:t>T312 when</w:t>
      </w:r>
      <w:bookmarkEnd w:id="10"/>
      <w:r w:rsidRPr="004A77C5">
        <w:rPr>
          <w:lang w:val="en-US"/>
        </w:rPr>
        <w:t xml:space="preserve"> detecting out-of-sync </w:t>
      </w:r>
      <w:r w:rsidRPr="004A77C5">
        <w:rPr>
          <w:u w:val="single"/>
          <w:lang w:val="en-US"/>
        </w:rPr>
        <w:t>after</w:t>
      </w:r>
      <w:r w:rsidRPr="004A77C5">
        <w:rPr>
          <w:lang w:val="en-US"/>
        </w:rPr>
        <w:t xml:space="preserve"> triggering a measurement report for a measurement identity for which T312 has been configured.</w:t>
      </w:r>
      <w:bookmarkEnd w:id="2"/>
      <w:bookmarkEnd w:id="3"/>
      <w:bookmarkEnd w:id="4"/>
      <w:bookmarkEnd w:id="5"/>
      <w:bookmarkEnd w:id="6"/>
      <w:bookmarkEnd w:id="7"/>
      <w:bookmarkEnd w:id="8"/>
      <w:bookmarkEnd w:id="9"/>
    </w:p>
    <w:p w14:paraId="6D596626" w14:textId="7224EC0C" w:rsidR="00066591" w:rsidRDefault="0064331C" w:rsidP="00066591">
      <w:r w:rsidRPr="004A77C5">
        <w:rPr>
          <w:lang w:val="en-US"/>
        </w:rPr>
        <w:t xml:space="preserve">Another limitation of the LTE mechanism is that the </w:t>
      </w:r>
      <w:r w:rsidR="009F58C6" w:rsidRPr="004A77C5">
        <w:rPr>
          <w:lang w:val="en-US"/>
        </w:rPr>
        <w:t xml:space="preserve">network can only associate the configuration of timer T312 to a single reporting configuration. </w:t>
      </w:r>
      <w:r w:rsidR="00066591" w:rsidRPr="004A77C5">
        <w:rPr>
          <w:lang w:val="en-US"/>
        </w:rPr>
        <w:t xml:space="preserve">And, as </w:t>
      </w:r>
      <w:r w:rsidR="009F58C6" w:rsidRPr="004A77C5">
        <w:rPr>
          <w:lang w:val="en-US"/>
        </w:rPr>
        <w:t>each report configuration can only define a single trigger quantity</w:t>
      </w:r>
      <w:r w:rsidR="00066591" w:rsidRPr="004A77C5">
        <w:rPr>
          <w:lang w:val="en-US"/>
        </w:rPr>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4A77C5">
        <w:rPr>
          <w:lang w:val="en-US"/>
        </w:rPr>
        <w:t xml:space="preserve"> (and in that case network configures two reportConfig(s) each associated to a trigger quantity)</w:t>
      </w:r>
      <w:r w:rsidR="00066591" w:rsidRPr="004A77C5">
        <w:rPr>
          <w:lang w:val="en-US"/>
        </w:rPr>
        <w:t>, the network would not use the mechanism, otherwise early RLF triggers would occur even in cases the network does not want to trigger mobility to another cell</w:t>
      </w:r>
      <w:r w:rsidR="0099327B" w:rsidRPr="004A77C5">
        <w:rPr>
          <w:lang w:val="en-US"/>
        </w:rPr>
        <w:t xml:space="preserve"> (as one of the conditions is not fulfilled)</w:t>
      </w:r>
      <w:r w:rsidR="00066591" w:rsidRPr="004A77C5">
        <w:rPr>
          <w:lang w:val="en-US"/>
        </w:rPr>
        <w:t xml:space="preserve">. Hence, one potential improvement to the handling of timer T312 is the association to multiple trigger </w:t>
      </w:r>
      <w:r w:rsidR="0099327B" w:rsidRPr="004A77C5">
        <w:rPr>
          <w:lang w:val="en-US"/>
        </w:rPr>
        <w:t xml:space="preserve">quantities </w:t>
      </w:r>
      <w:r w:rsidR="00066591" w:rsidRPr="004A77C5">
        <w:rPr>
          <w:lang w:val="en-US"/>
        </w:rPr>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4A77C5" w:rsidRDefault="0017252B" w:rsidP="009D18AC">
      <w:pPr>
        <w:pStyle w:val="Proposal"/>
        <w:rPr>
          <w:lang w:val="en-US"/>
        </w:rPr>
      </w:pPr>
      <w:r w:rsidRPr="004A77C5">
        <w:rPr>
          <w:lang w:val="en-US"/>
        </w:rPr>
        <w:t xml:space="preserve">RAN2 to study how timer </w:t>
      </w:r>
      <w:r w:rsidR="00066591" w:rsidRPr="004A77C5">
        <w:rPr>
          <w:lang w:val="en-US"/>
        </w:rPr>
        <w:t xml:space="preserve">T312 </w:t>
      </w:r>
      <w:r w:rsidR="00873B31" w:rsidRPr="004A77C5">
        <w:rPr>
          <w:lang w:val="en-US"/>
        </w:rPr>
        <w:t>can be associated to multiple trigger quantities</w:t>
      </w:r>
      <w:r w:rsidR="0099327B" w:rsidRPr="004A77C5">
        <w:rPr>
          <w:lang w:val="en-US"/>
        </w:rPr>
        <w:t xml:space="preserve"> (e.g. RSRP and RSRQ).</w:t>
      </w:r>
    </w:p>
    <w:p w14:paraId="1F0FD431" w14:textId="67C6BCD2" w:rsidR="009D18AC" w:rsidRPr="004A77C5" w:rsidRDefault="002E0577" w:rsidP="009D18AC">
      <w:pPr>
        <w:rPr>
          <w:lang w:val="en-US"/>
        </w:rPr>
      </w:pPr>
      <w:r w:rsidRPr="004A77C5">
        <w:rPr>
          <w:lang w:val="en-US"/>
        </w:rPr>
        <w:t xml:space="preserve">For NR, at </w:t>
      </w:r>
      <w:r w:rsidR="009D18AC" w:rsidRPr="004A77C5">
        <w:rPr>
          <w:lang w:val="en-US"/>
        </w:rPr>
        <w:t>RAN2-97</w:t>
      </w:r>
      <w:r w:rsidRPr="004A77C5">
        <w:rPr>
          <w:lang w:val="en-US"/>
        </w:rPr>
        <w:t xml:space="preserve">, </w:t>
      </w:r>
      <w:r w:rsidR="009D18AC" w:rsidRPr="004A77C5">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4A77C5">
        <w:rPr>
          <w:lang w:val="en-US"/>
        </w:rPr>
        <w:t xml:space="preserve">it was agreed for NR </w:t>
      </w:r>
      <w:r w:rsidR="009D18AC" w:rsidRPr="004A77C5">
        <w:rPr>
          <w:lang w:val="en-US"/>
        </w:rPr>
        <w:t>at RAN2-96 that “</w:t>
      </w:r>
      <w:r w:rsidR="009D18AC" w:rsidRPr="004A77C5">
        <w:rPr>
          <w:i/>
          <w:lang w:val="en-US"/>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4A77C5">
        <w:rPr>
          <w:lang w:val="en-US"/>
        </w:rPr>
        <w:t>”.</w:t>
      </w:r>
    </w:p>
    <w:p w14:paraId="4D0919E4" w14:textId="0B6D9EA8" w:rsidR="00A73AB9" w:rsidRPr="004A77C5" w:rsidRDefault="002E0577" w:rsidP="00ED3CBA">
      <w:pPr>
        <w:pStyle w:val="Proposal"/>
        <w:rPr>
          <w:lang w:val="en-US"/>
        </w:rPr>
      </w:pPr>
      <w:r w:rsidRPr="004A77C5">
        <w:rPr>
          <w:lang w:val="en-US"/>
        </w:rPr>
        <w:t>RAN2 to study the pre-provision of system</w:t>
      </w:r>
      <w:r w:rsidR="007D65E0" w:rsidRPr="004A77C5">
        <w:rPr>
          <w:lang w:val="en-US"/>
        </w:rPr>
        <w:t xml:space="preserve"> </w:t>
      </w:r>
      <w:r w:rsidRPr="004A77C5">
        <w:rPr>
          <w:lang w:val="en-US"/>
        </w:rP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16C490E8" w14:textId="566A1F4C" w:rsidR="0064331C" w:rsidRPr="004A77C5" w:rsidRDefault="0064331C" w:rsidP="0064331C">
      <w:pPr>
        <w:pStyle w:val="Proposal"/>
        <w:numPr>
          <w:ilvl w:val="0"/>
          <w:numId w:val="19"/>
        </w:numPr>
        <w:rPr>
          <w:lang w:val="en-US"/>
        </w:rPr>
      </w:pPr>
      <w:r w:rsidRPr="004A77C5">
        <w:rPr>
          <w:lang w:val="en-US"/>
        </w:rPr>
        <w:t xml:space="preserve">RAN2 </w:t>
      </w:r>
      <w:r w:rsidR="00D06E53">
        <w:rPr>
          <w:lang w:val="en-US"/>
        </w:rPr>
        <w:t xml:space="preserve">to study whether it should be possible to start T312 </w:t>
      </w:r>
      <w:r w:rsidRPr="004A77C5">
        <w:rPr>
          <w:lang w:val="en-US"/>
        </w:rPr>
        <w:t>when detecting out-of-sync after triggering a measurement report for a measurement identity for which T312 has been configured.</w:t>
      </w:r>
    </w:p>
    <w:p w14:paraId="5DE02F18" w14:textId="697FD100" w:rsidR="00620290" w:rsidRPr="004A77C5" w:rsidRDefault="00620290" w:rsidP="00620290">
      <w:pPr>
        <w:pStyle w:val="Proposal"/>
        <w:numPr>
          <w:ilvl w:val="0"/>
          <w:numId w:val="19"/>
        </w:numPr>
        <w:rPr>
          <w:lang w:val="en-US"/>
        </w:rPr>
      </w:pPr>
      <w:r w:rsidRPr="004A77C5">
        <w:rPr>
          <w:lang w:val="en-US"/>
        </w:rPr>
        <w:t>RAN2 to study how timer T312 can be associated to multiple trigger quantities (e.g. RSRP and RSRQ).</w:t>
      </w:r>
    </w:p>
    <w:p w14:paraId="43591C01" w14:textId="4B886D4C" w:rsidR="00C01F33" w:rsidRPr="004A77C5" w:rsidRDefault="00620290" w:rsidP="006E062C">
      <w:pPr>
        <w:pStyle w:val="Proposal"/>
        <w:numPr>
          <w:ilvl w:val="0"/>
          <w:numId w:val="19"/>
        </w:numPr>
        <w:rPr>
          <w:lang w:val="en-US"/>
        </w:rPr>
      </w:pPr>
      <w:r w:rsidRPr="004A77C5">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2D334F3D" w:rsidR="0058462F" w:rsidRPr="004A77C5" w:rsidRDefault="0095336B" w:rsidP="0058462F">
      <w:pPr>
        <w:pStyle w:val="Reference"/>
        <w:rPr>
          <w:lang w:val="en-US"/>
        </w:rPr>
      </w:pPr>
      <w:bookmarkStart w:id="12" w:name="_Ref477726095"/>
      <w:r w:rsidRPr="004A77C5">
        <w:rPr>
          <w:lang w:val="en-US"/>
        </w:rPr>
        <w:t>RP-181433</w:t>
      </w:r>
      <w:r w:rsidR="0058462F" w:rsidRPr="004A77C5">
        <w:rPr>
          <w:lang w:val="en-US"/>
        </w:rPr>
        <w:t xml:space="preserve">, </w:t>
      </w:r>
      <w:r w:rsidR="0052434D" w:rsidRPr="004A77C5">
        <w:rPr>
          <w:lang w:val="en-US"/>
        </w:rPr>
        <w:t>New WID: NR mobility enhancements</w:t>
      </w:r>
      <w:r w:rsidR="0058462F" w:rsidRPr="004A77C5">
        <w:rPr>
          <w:lang w:val="en-US"/>
        </w:rPr>
        <w:t xml:space="preserve">, </w:t>
      </w:r>
      <w:r w:rsidR="0052434D" w:rsidRPr="004A77C5">
        <w:rPr>
          <w:lang w:val="en-US"/>
        </w:rPr>
        <w:t>Intel</w:t>
      </w:r>
      <w:r w:rsidR="0058462F" w:rsidRPr="004A77C5">
        <w:rPr>
          <w:lang w:val="en-US"/>
        </w:rPr>
        <w:t>, 3GPP TSG-RAN Meeting #8</w:t>
      </w:r>
      <w:r w:rsidR="00601A09" w:rsidRPr="004A77C5">
        <w:rPr>
          <w:lang w:val="en-US"/>
        </w:rPr>
        <w:t>0</w:t>
      </w:r>
      <w:r w:rsidR="0058462F" w:rsidRPr="004A77C5">
        <w:rPr>
          <w:lang w:val="en-US"/>
        </w:rPr>
        <w:t xml:space="preserve">, </w:t>
      </w:r>
      <w:r w:rsidR="00C86C88" w:rsidRPr="004A77C5">
        <w:rPr>
          <w:lang w:val="en-US"/>
        </w:rPr>
        <w:t>La Jolla, USA, May 21 – May 25,</w:t>
      </w:r>
      <w:r w:rsidR="0058462F" w:rsidRPr="004A77C5">
        <w:rPr>
          <w:lang w:val="en-US"/>
        </w:rPr>
        <w:t xml:space="preserve"> 2018.</w:t>
      </w:r>
    </w:p>
    <w:bookmarkStart w:id="13" w:name="_Ref477970055"/>
    <w:bookmarkEnd w:id="12"/>
    <w:p w14:paraId="389DCB46" w14:textId="1546F028" w:rsidR="00E25A33" w:rsidRPr="00B90DC5" w:rsidRDefault="00D53AC4" w:rsidP="00E25A33">
      <w:pPr>
        <w:pStyle w:val="Reference"/>
        <w:rPr>
          <w:lang w:val="en-US"/>
        </w:rPr>
      </w:pPr>
      <w:r>
        <w:fldChar w:fldCharType="begin"/>
      </w:r>
      <w:r w:rsidRPr="00B90DC5">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B90DC5">
        <w:rPr>
          <w:lang w:val="en-US"/>
        </w:rPr>
        <w:t>, NW controlled autonomous handover in single connectivity, Intel Corporation, RAN2-97, Athens, Greece, 13th – 17th February 2017</w:t>
      </w:r>
      <w:bookmarkEnd w:id="13"/>
      <w:r w:rsidR="00E25A33" w:rsidRPr="00B90DC5">
        <w:rPr>
          <w:lang w:val="en-US"/>
        </w:rPr>
        <w:t xml:space="preserve"> </w:t>
      </w:r>
      <w:bookmarkStart w:id="14" w:name="_GoBack"/>
      <w:bookmarkEnd w:id="14"/>
    </w:p>
    <w:sectPr w:rsidR="00E25A33" w:rsidRPr="00B90DC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9A89" w14:textId="77777777" w:rsidR="005976AA" w:rsidRDefault="005976AA">
      <w:r>
        <w:separator/>
      </w:r>
    </w:p>
  </w:endnote>
  <w:endnote w:type="continuationSeparator" w:id="0">
    <w:p w14:paraId="71BB1310" w14:textId="77777777" w:rsidR="005976AA" w:rsidRDefault="005976AA">
      <w:r>
        <w:continuationSeparator/>
      </w:r>
    </w:p>
  </w:endnote>
  <w:endnote w:type="continuationNotice" w:id="1">
    <w:p w14:paraId="4D2895FE" w14:textId="77777777" w:rsidR="005976AA" w:rsidRDefault="00597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590D" w14:textId="77777777" w:rsidR="005976AA" w:rsidRDefault="005976AA">
      <w:r>
        <w:separator/>
      </w:r>
    </w:p>
  </w:footnote>
  <w:footnote w:type="continuationSeparator" w:id="0">
    <w:p w14:paraId="781C0078" w14:textId="77777777" w:rsidR="005976AA" w:rsidRDefault="005976AA">
      <w:r>
        <w:continuationSeparator/>
      </w:r>
    </w:p>
  </w:footnote>
  <w:footnote w:type="continuationNotice" w:id="1">
    <w:p w14:paraId="05ADF543" w14:textId="77777777" w:rsidR="005976AA" w:rsidRDefault="00597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6"/>
  </w:num>
  <w:num w:numId="19">
    <w:abstractNumId w:val="11"/>
    <w:lvlOverride w:ilvl="0">
      <w:startOverride w:val="1"/>
    </w:lvlOverride>
  </w:num>
  <w:num w:numId="20">
    <w:abstractNumId w:val="5"/>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564D"/>
    <w:rsid w:val="00025ECA"/>
    <w:rsid w:val="00026510"/>
    <w:rsid w:val="00027939"/>
    <w:rsid w:val="00031640"/>
    <w:rsid w:val="000325B8"/>
    <w:rsid w:val="00034623"/>
    <w:rsid w:val="00034C15"/>
    <w:rsid w:val="00036BA1"/>
    <w:rsid w:val="000422E2"/>
    <w:rsid w:val="00042F22"/>
    <w:rsid w:val="000444EF"/>
    <w:rsid w:val="000505D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258"/>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157"/>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28C2"/>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240F"/>
    <w:rsid w:val="00234EF2"/>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501F"/>
    <w:rsid w:val="00307BA1"/>
    <w:rsid w:val="00310546"/>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6E7E"/>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91C"/>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A77C5"/>
    <w:rsid w:val="004B3DDE"/>
    <w:rsid w:val="004B5E93"/>
    <w:rsid w:val="004B7C0C"/>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2434D"/>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6AA"/>
    <w:rsid w:val="0059779B"/>
    <w:rsid w:val="005A0BA6"/>
    <w:rsid w:val="005A209A"/>
    <w:rsid w:val="005A2C72"/>
    <w:rsid w:val="005A4A5B"/>
    <w:rsid w:val="005A662D"/>
    <w:rsid w:val="005B0B31"/>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1A09"/>
    <w:rsid w:val="0060283C"/>
    <w:rsid w:val="00604F14"/>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31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1B"/>
    <w:rsid w:val="00683ECE"/>
    <w:rsid w:val="00685A8E"/>
    <w:rsid w:val="00693583"/>
    <w:rsid w:val="00695FC2"/>
    <w:rsid w:val="00696949"/>
    <w:rsid w:val="00697052"/>
    <w:rsid w:val="006A2F2F"/>
    <w:rsid w:val="006A46FB"/>
    <w:rsid w:val="006A5E28"/>
    <w:rsid w:val="006A697B"/>
    <w:rsid w:val="006A744A"/>
    <w:rsid w:val="006A7AFF"/>
    <w:rsid w:val="006B0B8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6865"/>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5986"/>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41CC"/>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36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365C4"/>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09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DC5"/>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1972"/>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86C88"/>
    <w:rsid w:val="00C9027A"/>
    <w:rsid w:val="00C90414"/>
    <w:rsid w:val="00C9068E"/>
    <w:rsid w:val="00C93C4B"/>
    <w:rsid w:val="00C944AB"/>
    <w:rsid w:val="00C955AA"/>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06E53"/>
    <w:rsid w:val="00D10249"/>
    <w:rsid w:val="00D115C3"/>
    <w:rsid w:val="00D11897"/>
    <w:rsid w:val="00D13135"/>
    <w:rsid w:val="00D13E4E"/>
    <w:rsid w:val="00D22351"/>
    <w:rsid w:val="00D239A7"/>
    <w:rsid w:val="00D23F47"/>
    <w:rsid w:val="00D3005B"/>
    <w:rsid w:val="00D36E71"/>
    <w:rsid w:val="00D37D87"/>
    <w:rsid w:val="00D40B33"/>
    <w:rsid w:val="00D4318F"/>
    <w:rsid w:val="00D438BF"/>
    <w:rsid w:val="00D440F8"/>
    <w:rsid w:val="00D47284"/>
    <w:rsid w:val="00D53AC4"/>
    <w:rsid w:val="00D546FF"/>
    <w:rsid w:val="00D55081"/>
    <w:rsid w:val="00D55103"/>
    <w:rsid w:val="00D55AD5"/>
    <w:rsid w:val="00D576CA"/>
    <w:rsid w:val="00D60E13"/>
    <w:rsid w:val="00D61AF5"/>
    <w:rsid w:val="00D61FAD"/>
    <w:rsid w:val="00D62CD5"/>
    <w:rsid w:val="00D6435F"/>
    <w:rsid w:val="00D652B5"/>
    <w:rsid w:val="00D66155"/>
    <w:rsid w:val="00D708B0"/>
    <w:rsid w:val="00D70E73"/>
    <w:rsid w:val="00D77B1D"/>
    <w:rsid w:val="00D8021F"/>
    <w:rsid w:val="00D80383"/>
    <w:rsid w:val="00D8089F"/>
    <w:rsid w:val="00D823C6"/>
    <w:rsid w:val="00D86CA3"/>
    <w:rsid w:val="00D871CE"/>
    <w:rsid w:val="00D9196D"/>
    <w:rsid w:val="00D92982"/>
    <w:rsid w:val="00D92EAE"/>
    <w:rsid w:val="00D9780A"/>
    <w:rsid w:val="00DA305E"/>
    <w:rsid w:val="00DA5007"/>
    <w:rsid w:val="00DA5417"/>
    <w:rsid w:val="00DA56E8"/>
    <w:rsid w:val="00DB0A9F"/>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36DC"/>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088C"/>
    <w:rsid w:val="00EA5949"/>
    <w:rsid w:val="00EA6F54"/>
    <w:rsid w:val="00EA7A41"/>
    <w:rsid w:val="00EB077B"/>
    <w:rsid w:val="00EB3F94"/>
    <w:rsid w:val="00EB4EA2"/>
    <w:rsid w:val="00EC27C6"/>
    <w:rsid w:val="00EC4207"/>
    <w:rsid w:val="00EC5653"/>
    <w:rsid w:val="00EC60B5"/>
    <w:rsid w:val="00EC648C"/>
    <w:rsid w:val="00EC71CE"/>
    <w:rsid w:val="00ED1006"/>
    <w:rsid w:val="00ED3CBA"/>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240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32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240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character" w:customStyle="1" w:styleId="3GPPHeaderChar">
    <w:name w:val="3GPP_Header Char"/>
    <w:link w:val="3GPPHeader"/>
    <w:rsid w:val="00EA5949"/>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5NUHHDQN7SK2-1476151046-43161</_dlc_DocId>
    <_dlc_DocIdUrl xmlns="f166a696-7b5b-4ccd-9f0c-ffde0cceec81">
      <Url>https://ericsson.sharepoint.com/sites/star/_layouts/15/DocIdRedir.aspx?ID=5NUHHDQN7SK2-1476151046-43161</Url>
      <Description>5NUHHDQN7SK2-1476151046-43161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1ED0-241E-4020-93BD-9F58FF14B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BFAEF-A8C2-4768-8108-DC9CB1EFB21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35FC4597-7943-4E2D-84B5-EEBC83445823}">
  <ds:schemaRefs>
    <ds:schemaRef ds:uri="http://schemas.microsoft.com/sharepoint/v3/contenttype/forms"/>
  </ds:schemaRefs>
</ds:datastoreItem>
</file>

<file path=customXml/itemProps4.xml><?xml version="1.0" encoding="utf-8"?>
<ds:datastoreItem xmlns:ds="http://schemas.openxmlformats.org/officeDocument/2006/customXml" ds:itemID="{5FAD9B55-838B-476E-8865-A3FE4E04FEA8}">
  <ds:schemaRefs>
    <ds:schemaRef ds:uri="http://schemas.microsoft.com/sharepoint/events"/>
  </ds:schemaRefs>
</ds:datastoreItem>
</file>

<file path=customXml/itemProps5.xml><?xml version="1.0" encoding="utf-8"?>
<ds:datastoreItem xmlns:ds="http://schemas.openxmlformats.org/officeDocument/2006/customXml" ds:itemID="{445FBD01-68BE-427C-B502-476D2077A753}">
  <ds:schemaRefs>
    <ds:schemaRef ds:uri="Microsoft.SharePoint.Taxonomy.ContentTypeSync"/>
  </ds:schemaRefs>
</ds:datastoreItem>
</file>

<file path=customXml/itemProps6.xml><?xml version="1.0" encoding="utf-8"?>
<ds:datastoreItem xmlns:ds="http://schemas.openxmlformats.org/officeDocument/2006/customXml" ds:itemID="{9618417D-35A4-43F2-9EE0-80052D38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2019-03-11T07:59:00Z</dcterms:created>
  <dcterms:modified xsi:type="dcterms:W3CDTF">2019-03-28T14:59:00Z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89bd6cd3-f458-429a-9784-a9c0621f6be3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357,320</vt:lpwstr>
  </property>
</Properties>
</file>